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60" w:rsidRPr="003E39AA" w:rsidRDefault="00736DCA" w:rsidP="00EC1160">
      <w:pPr>
        <w:pStyle w:val="Title"/>
        <w:spacing w:after="0"/>
        <w:jc w:val="center"/>
      </w:pPr>
      <w:r w:rsidRPr="00736DCA">
        <w:rPr>
          <w:noProof/>
        </w:rPr>
        <w:drawing>
          <wp:inline distT="0" distB="0" distL="0" distR="0">
            <wp:extent cx="1178882" cy="923925"/>
            <wp:effectExtent l="0" t="0" r="2540" b="0"/>
            <wp:docPr id="6" name="Picture 6" descr="C:\Users\XPD24373\Desktop\LCCH+Logo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PD24373\Desktop\LCCH+Logo+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13" cy="93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80A13">
        <w:t>ServicePoint</w:t>
      </w:r>
      <w:proofErr w:type="spellEnd"/>
      <w:r w:rsidR="00180A13">
        <w:t xml:space="preserve"> (HMIS) Committee</w:t>
      </w:r>
      <w:r w:rsidR="00EC1160">
        <w:t xml:space="preserve"> Minutes</w:t>
      </w:r>
    </w:p>
    <w:p w:rsidR="00EC1160" w:rsidRPr="00593CD6" w:rsidRDefault="00EC1160" w:rsidP="00EC1160">
      <w:pPr>
        <w:jc w:val="center"/>
      </w:pPr>
      <w:r w:rsidRPr="003E39AA">
        <w:rPr>
          <w:b/>
        </w:rPr>
        <w:t>Date:</w:t>
      </w:r>
      <w:r w:rsidR="00180A13">
        <w:t xml:space="preserve"> Tuesday, </w:t>
      </w:r>
      <w:r w:rsidR="00C42B3D">
        <w:t>October 24</w:t>
      </w:r>
      <w:r w:rsidR="00180A13">
        <w:t>, 2017</w:t>
      </w:r>
      <w:r>
        <w:tab/>
      </w:r>
      <w:r w:rsidRPr="003E39AA">
        <w:rPr>
          <w:b/>
        </w:rPr>
        <w:t>Time:</w:t>
      </w:r>
      <w:r>
        <w:t xml:space="preserve"> </w:t>
      </w:r>
      <w:r w:rsidR="00180A13">
        <w:t>2:30</w:t>
      </w:r>
      <w:r>
        <w:t xml:space="preserve"> pm</w:t>
      </w:r>
    </w:p>
    <w:p w:rsidR="00EC1160" w:rsidRDefault="00EC1160" w:rsidP="00180A13">
      <w:pPr>
        <w:jc w:val="center"/>
      </w:pPr>
      <w:r w:rsidRPr="00593CD6">
        <w:rPr>
          <w:b/>
        </w:rPr>
        <w:t>Place:</w:t>
      </w:r>
      <w:r w:rsidRPr="00593CD6">
        <w:t xml:space="preserve"> </w:t>
      </w:r>
      <w:r w:rsidR="00180A13">
        <w:t>Lake County Central Permit Facility</w:t>
      </w:r>
    </w:p>
    <w:p w:rsidR="00180A13" w:rsidRDefault="00180A13" w:rsidP="00180A13">
      <w:pPr>
        <w:jc w:val="center"/>
      </w:pPr>
      <w:r>
        <w:t>500 W Winchester Rd. Unit 101, Libertyville, IL 60048</w:t>
      </w:r>
    </w:p>
    <w:p w:rsidR="00EC1160" w:rsidRPr="00C329D1" w:rsidRDefault="00EC1160" w:rsidP="00EC1160">
      <w:pPr>
        <w:jc w:val="center"/>
        <w:rPr>
          <w:sz w:val="8"/>
        </w:rPr>
      </w:pPr>
    </w:p>
    <w:tbl>
      <w:tblPr>
        <w:tblStyle w:val="TableGrid"/>
        <w:tblW w:w="954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61"/>
        <w:gridCol w:w="8460"/>
      </w:tblGrid>
      <w:tr w:rsidR="00EC1160" w:rsidRPr="00D453C4" w:rsidTr="00D453C4">
        <w:tc>
          <w:tcPr>
            <w:tcW w:w="819" w:type="dxa"/>
          </w:tcPr>
          <w:p w:rsidR="00EC1160" w:rsidRPr="00D453C4" w:rsidRDefault="00D453C4" w:rsidP="0026771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1.0</w:t>
            </w:r>
          </w:p>
        </w:tc>
        <w:tc>
          <w:tcPr>
            <w:tcW w:w="261" w:type="dxa"/>
          </w:tcPr>
          <w:p w:rsidR="00EC1160" w:rsidRPr="00D453C4" w:rsidRDefault="00EC1160" w:rsidP="002677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EC1160" w:rsidRPr="00D453C4" w:rsidRDefault="00EC1160" w:rsidP="0026771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Call to Order &amp; Introductions</w:t>
            </w:r>
          </w:p>
          <w:p w:rsidR="00180A13" w:rsidRPr="00D453C4" w:rsidRDefault="00180A13" w:rsidP="00267712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David Fries, Catholic Charities</w:t>
            </w:r>
          </w:p>
          <w:p w:rsidR="00180A13" w:rsidRPr="00D453C4" w:rsidRDefault="00180A13" w:rsidP="00267712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Christen White, PADS Lake County</w:t>
            </w:r>
          </w:p>
          <w:p w:rsidR="00D405BE" w:rsidRPr="00D453C4" w:rsidRDefault="00D405BE" w:rsidP="00267712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Greg </w:t>
            </w:r>
            <w:proofErr w:type="spellStart"/>
            <w:r w:rsidRPr="00D453C4">
              <w:rPr>
                <w:rFonts w:asciiTheme="majorHAnsi" w:hAnsiTheme="majorHAnsi"/>
                <w:sz w:val="24"/>
                <w:szCs w:val="24"/>
              </w:rPr>
              <w:t>Mavromatis</w:t>
            </w:r>
            <w:proofErr w:type="spellEnd"/>
            <w:r w:rsidRPr="00D453C4">
              <w:rPr>
                <w:rFonts w:asciiTheme="majorHAnsi" w:hAnsiTheme="majorHAnsi"/>
                <w:sz w:val="24"/>
                <w:szCs w:val="24"/>
              </w:rPr>
              <w:t>, V</w:t>
            </w:r>
            <w:r w:rsidR="00D453C4" w:rsidRPr="00D453C4">
              <w:rPr>
                <w:rFonts w:asciiTheme="majorHAnsi" w:hAnsiTheme="majorHAnsi"/>
                <w:sz w:val="24"/>
                <w:szCs w:val="24"/>
              </w:rPr>
              <w:t xml:space="preserve">eterans </w:t>
            </w:r>
            <w:r w:rsidRPr="00D453C4">
              <w:rPr>
                <w:rFonts w:asciiTheme="majorHAnsi" w:hAnsiTheme="majorHAnsi"/>
                <w:sz w:val="24"/>
                <w:szCs w:val="24"/>
              </w:rPr>
              <w:t>A</w:t>
            </w:r>
            <w:r w:rsidR="00D453C4" w:rsidRPr="00D453C4">
              <w:rPr>
                <w:rFonts w:asciiTheme="majorHAnsi" w:hAnsiTheme="majorHAnsi"/>
                <w:sz w:val="24"/>
                <w:szCs w:val="24"/>
              </w:rPr>
              <w:t>ffairs</w:t>
            </w:r>
          </w:p>
          <w:p w:rsidR="00180A13" w:rsidRPr="00D453C4" w:rsidRDefault="00180A13" w:rsidP="00267712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Yareli Facundo, Lake County Community Development</w:t>
            </w:r>
          </w:p>
          <w:p w:rsidR="00EC1160" w:rsidRPr="00D453C4" w:rsidRDefault="00180A13" w:rsidP="00267712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Brenda O’Connell, Lake County Community Development</w:t>
            </w:r>
            <w:r w:rsidR="00922534" w:rsidRPr="00D453C4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EC1160" w:rsidRPr="00D453C4" w:rsidTr="00D453C4">
        <w:tc>
          <w:tcPr>
            <w:tcW w:w="819" w:type="dxa"/>
          </w:tcPr>
          <w:p w:rsidR="00EC1160" w:rsidRPr="00D453C4" w:rsidRDefault="00EC1160" w:rsidP="0026771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2.0</w:t>
            </w:r>
          </w:p>
        </w:tc>
        <w:tc>
          <w:tcPr>
            <w:tcW w:w="261" w:type="dxa"/>
          </w:tcPr>
          <w:p w:rsidR="00EC1160" w:rsidRPr="00D453C4" w:rsidRDefault="00EC1160" w:rsidP="002677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EC1160" w:rsidRPr="00D453C4" w:rsidRDefault="00180A13" w:rsidP="0026771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Approval of Minutes</w:t>
            </w:r>
          </w:p>
        </w:tc>
      </w:tr>
      <w:tr w:rsidR="00EC1160" w:rsidRPr="00D453C4" w:rsidTr="00D453C4">
        <w:tc>
          <w:tcPr>
            <w:tcW w:w="819" w:type="dxa"/>
          </w:tcPr>
          <w:p w:rsidR="00EC1160" w:rsidRPr="00D453C4" w:rsidRDefault="00EC1160" w:rsidP="0026771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" w:type="dxa"/>
          </w:tcPr>
          <w:p w:rsidR="00EC1160" w:rsidRPr="00D453C4" w:rsidRDefault="00EC1160" w:rsidP="002677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EC1160" w:rsidRPr="00D453C4" w:rsidRDefault="00D405BE" w:rsidP="00267712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August 22 meeting minutes were approved</w:t>
            </w:r>
            <w:r w:rsidR="00180A13" w:rsidRPr="00D453C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EC1160" w:rsidRPr="00D453C4" w:rsidTr="00D453C4">
        <w:tc>
          <w:tcPr>
            <w:tcW w:w="819" w:type="dxa"/>
          </w:tcPr>
          <w:p w:rsidR="00EC1160" w:rsidRPr="00D453C4" w:rsidRDefault="00EC1160" w:rsidP="00267712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" w:type="dxa"/>
          </w:tcPr>
          <w:p w:rsidR="00EC1160" w:rsidRPr="00D453C4" w:rsidRDefault="00EC1160" w:rsidP="002677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EC1160" w:rsidRPr="00D453C4" w:rsidRDefault="00EC1160" w:rsidP="002677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1160" w:rsidRPr="00D453C4" w:rsidTr="00D453C4">
        <w:tc>
          <w:tcPr>
            <w:tcW w:w="819" w:type="dxa"/>
          </w:tcPr>
          <w:p w:rsidR="00EC1160" w:rsidRPr="00D453C4" w:rsidRDefault="00EC1160" w:rsidP="0026771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3.0</w:t>
            </w:r>
          </w:p>
        </w:tc>
        <w:tc>
          <w:tcPr>
            <w:tcW w:w="261" w:type="dxa"/>
          </w:tcPr>
          <w:p w:rsidR="00EC1160" w:rsidRPr="00D453C4" w:rsidRDefault="00EC1160" w:rsidP="002677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EC1160" w:rsidRPr="00D453C4" w:rsidRDefault="00180A13" w:rsidP="0026771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Chair’s Remarks</w:t>
            </w:r>
          </w:p>
          <w:p w:rsidR="00180A13" w:rsidRPr="00D453C4" w:rsidRDefault="00D405BE" w:rsidP="00267712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The chair had no remarks this month.</w:t>
            </w:r>
          </w:p>
          <w:p w:rsidR="00D453C4" w:rsidRPr="00D453C4" w:rsidRDefault="00D453C4" w:rsidP="002677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1160" w:rsidRPr="00D453C4" w:rsidTr="00D453C4">
        <w:tc>
          <w:tcPr>
            <w:tcW w:w="819" w:type="dxa"/>
          </w:tcPr>
          <w:p w:rsidR="00EC1160" w:rsidRPr="00D453C4" w:rsidRDefault="00EC1160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4.0</w:t>
            </w:r>
          </w:p>
        </w:tc>
        <w:tc>
          <w:tcPr>
            <w:tcW w:w="261" w:type="dxa"/>
          </w:tcPr>
          <w:p w:rsidR="00EC1160" w:rsidRPr="00D453C4" w:rsidRDefault="00EC1160" w:rsidP="00EC11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EC1160" w:rsidRPr="00D453C4" w:rsidRDefault="00180A13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Staff Reports</w:t>
            </w:r>
          </w:p>
        </w:tc>
      </w:tr>
      <w:tr w:rsidR="00EC1160" w:rsidRPr="00D453C4" w:rsidTr="00D453C4">
        <w:tc>
          <w:tcPr>
            <w:tcW w:w="819" w:type="dxa"/>
          </w:tcPr>
          <w:p w:rsidR="00EC1160" w:rsidRPr="00D453C4" w:rsidRDefault="00EC1160" w:rsidP="00EC116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" w:type="dxa"/>
          </w:tcPr>
          <w:p w:rsidR="00EC1160" w:rsidRPr="00D453C4" w:rsidRDefault="00EC1160" w:rsidP="00EC116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770FBB" w:rsidRPr="00D453C4" w:rsidRDefault="00180A13" w:rsidP="00922534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4.1 HMIS Reports</w:t>
            </w:r>
          </w:p>
          <w:p w:rsidR="00D405BE" w:rsidRPr="00D453C4" w:rsidRDefault="00D405BE" w:rsidP="00D405B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CAPER and APR update released</w:t>
            </w:r>
          </w:p>
          <w:p w:rsidR="00D405BE" w:rsidRDefault="00D405BE" w:rsidP="00D405B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AHAR draft data due 10/31</w:t>
            </w:r>
          </w:p>
          <w:p w:rsidR="0043205F" w:rsidRPr="00D453C4" w:rsidRDefault="0043205F" w:rsidP="0043205F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Brenda confirmed that data will be ready to submit by 10/31, and we will have another month to make corrections.</w:t>
            </w:r>
          </w:p>
          <w:p w:rsidR="00D405BE" w:rsidRPr="00D453C4" w:rsidRDefault="00D405BE" w:rsidP="00D405BE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375B36" w:rsidRPr="00D453C4" w:rsidRDefault="00375B36" w:rsidP="00D405BE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4.2 </w:t>
            </w:r>
            <w:proofErr w:type="spellStart"/>
            <w:r w:rsidRPr="00D453C4">
              <w:rPr>
                <w:rFonts w:asciiTheme="majorHAnsi" w:hAnsiTheme="majorHAnsi"/>
                <w:sz w:val="24"/>
                <w:szCs w:val="24"/>
              </w:rPr>
              <w:t>ServicePoint</w:t>
            </w:r>
            <w:proofErr w:type="spellEnd"/>
            <w:r w:rsidRPr="00D453C4">
              <w:rPr>
                <w:rFonts w:asciiTheme="majorHAnsi" w:hAnsiTheme="majorHAnsi"/>
                <w:sz w:val="24"/>
                <w:szCs w:val="24"/>
              </w:rPr>
              <w:t xml:space="preserve"> 6 and Qlik New Reporting Tool</w:t>
            </w:r>
          </w:p>
          <w:p w:rsidR="00375B36" w:rsidRPr="00D453C4" w:rsidRDefault="00E04263" w:rsidP="00922534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No new news on SP6, release is delayed to December.</w:t>
            </w:r>
          </w:p>
          <w:p w:rsidR="00E04263" w:rsidRPr="00D453C4" w:rsidRDefault="00E04263" w:rsidP="00922534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The committee discussed </w:t>
            </w:r>
            <w:r w:rsidR="00D453C4" w:rsidRPr="00D453C4">
              <w:rPr>
                <w:rFonts w:asciiTheme="majorHAnsi" w:hAnsiTheme="majorHAnsi"/>
                <w:sz w:val="24"/>
                <w:szCs w:val="24"/>
              </w:rPr>
              <w:t>integrating Qlik displays on every level of access.</w:t>
            </w:r>
          </w:p>
          <w:p w:rsidR="00375B36" w:rsidRPr="00D453C4" w:rsidRDefault="00375B36" w:rsidP="009225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75B36" w:rsidRPr="00D453C4" w:rsidRDefault="00375B36" w:rsidP="00922534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4.3 New HMIS Data Standards and Data Dictionary (effective 10/1/17)</w:t>
            </w:r>
          </w:p>
          <w:p w:rsidR="00180A13" w:rsidRPr="00D453C4" w:rsidRDefault="00D405BE" w:rsidP="00922534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       Yareli hosted </w:t>
            </w:r>
            <w:proofErr w:type="gramStart"/>
            <w:r w:rsidRPr="00D453C4">
              <w:rPr>
                <w:rFonts w:asciiTheme="majorHAnsi" w:hAnsiTheme="majorHAnsi"/>
                <w:sz w:val="24"/>
                <w:szCs w:val="24"/>
              </w:rPr>
              <w:t>a data standards</w:t>
            </w:r>
            <w:proofErr w:type="gramEnd"/>
            <w:r w:rsidRPr="00D453C4">
              <w:rPr>
                <w:rFonts w:asciiTheme="majorHAnsi" w:hAnsiTheme="majorHAnsi"/>
                <w:sz w:val="24"/>
                <w:szCs w:val="24"/>
              </w:rPr>
              <w:t xml:space="preserve"> training for all </w:t>
            </w:r>
            <w:proofErr w:type="spellStart"/>
            <w:r w:rsidRPr="00D453C4">
              <w:rPr>
                <w:rFonts w:asciiTheme="majorHAnsi" w:hAnsiTheme="majorHAnsi"/>
                <w:sz w:val="24"/>
                <w:szCs w:val="24"/>
              </w:rPr>
              <w:t>CoC</w:t>
            </w:r>
            <w:proofErr w:type="spellEnd"/>
            <w:r w:rsidRPr="00D453C4">
              <w:rPr>
                <w:rFonts w:asciiTheme="majorHAnsi" w:hAnsiTheme="majorHAnsi"/>
                <w:sz w:val="24"/>
                <w:szCs w:val="24"/>
              </w:rPr>
              <w:t xml:space="preserve"> members </w:t>
            </w:r>
          </w:p>
          <w:p w:rsidR="00D453C4" w:rsidRPr="00D453C4" w:rsidRDefault="00D453C4" w:rsidP="009225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75B36" w:rsidRPr="00D453C4" w:rsidRDefault="00375B36" w:rsidP="00922534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4.4 Referral Network Implementation</w:t>
            </w:r>
          </w:p>
          <w:p w:rsidR="00375B36" w:rsidRDefault="00375B36" w:rsidP="00922534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Brenda </w:t>
            </w:r>
            <w:r w:rsidR="00D453C4">
              <w:rPr>
                <w:rFonts w:asciiTheme="majorHAnsi" w:hAnsiTheme="majorHAnsi"/>
                <w:sz w:val="24"/>
                <w:szCs w:val="24"/>
              </w:rPr>
              <w:t>reported from visit to Healthcare Foundation of North Lake County site visit; Electronic referrals to Coordinated Entry is n</w:t>
            </w:r>
            <w:r w:rsidR="0043205F">
              <w:rPr>
                <w:rFonts w:asciiTheme="majorHAnsi" w:hAnsiTheme="majorHAnsi"/>
                <w:sz w:val="24"/>
                <w:szCs w:val="24"/>
              </w:rPr>
              <w:t>ew.</w:t>
            </w:r>
          </w:p>
          <w:p w:rsidR="0043205F" w:rsidRDefault="0043205F" w:rsidP="0092253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3205F" w:rsidRDefault="0043205F" w:rsidP="009225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4.5 211 Implementation</w:t>
            </w:r>
          </w:p>
          <w:p w:rsidR="0043205F" w:rsidRPr="00D453C4" w:rsidRDefault="0043205F" w:rsidP="0092253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committee discussed the potential for linking United Way-administered 211 to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ServicePoint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</w:tr>
      <w:tr w:rsidR="00EC1160" w:rsidRPr="00D453C4" w:rsidTr="00D453C4">
        <w:tc>
          <w:tcPr>
            <w:tcW w:w="819" w:type="dxa"/>
          </w:tcPr>
          <w:p w:rsidR="00EC1160" w:rsidRPr="00D453C4" w:rsidRDefault="00EC1160" w:rsidP="00180A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" w:type="dxa"/>
          </w:tcPr>
          <w:p w:rsidR="00EC1160" w:rsidRPr="00D453C4" w:rsidRDefault="00EC1160" w:rsidP="00EC116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460" w:type="dxa"/>
          </w:tcPr>
          <w:p w:rsidR="00EC1160" w:rsidRPr="00D453C4" w:rsidRDefault="00EC1160" w:rsidP="009225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C1160" w:rsidRPr="00D453C4" w:rsidTr="00D453C4">
        <w:tc>
          <w:tcPr>
            <w:tcW w:w="819" w:type="dxa"/>
          </w:tcPr>
          <w:p w:rsidR="00EC1160" w:rsidRPr="00D453C4" w:rsidRDefault="00EC1160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5.0</w:t>
            </w:r>
          </w:p>
        </w:tc>
        <w:tc>
          <w:tcPr>
            <w:tcW w:w="261" w:type="dxa"/>
          </w:tcPr>
          <w:p w:rsidR="00EC1160" w:rsidRPr="00D453C4" w:rsidRDefault="00EC1160" w:rsidP="00EC11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EC1160" w:rsidRPr="00D453C4" w:rsidRDefault="002C3EED" w:rsidP="00EC11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Old Business</w:t>
            </w:r>
          </w:p>
          <w:p w:rsidR="002C3EED" w:rsidRPr="00D453C4" w:rsidRDefault="002C3EED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5.1 </w:t>
            </w:r>
            <w:proofErr w:type="spellStart"/>
            <w:r w:rsidRPr="00D453C4">
              <w:rPr>
                <w:rFonts w:asciiTheme="majorHAnsi" w:hAnsiTheme="majorHAnsi"/>
                <w:sz w:val="24"/>
                <w:szCs w:val="24"/>
              </w:rPr>
              <w:t>ServicePoint</w:t>
            </w:r>
            <w:proofErr w:type="spellEnd"/>
            <w:r w:rsidRPr="00D453C4">
              <w:rPr>
                <w:rFonts w:asciiTheme="majorHAnsi" w:hAnsiTheme="majorHAnsi"/>
                <w:sz w:val="24"/>
                <w:szCs w:val="24"/>
              </w:rPr>
              <w:t xml:space="preserve"> Training Plan</w:t>
            </w:r>
          </w:p>
          <w:p w:rsidR="00E04263" w:rsidRPr="00D453C4" w:rsidRDefault="00E04263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Training </w:t>
            </w:r>
            <w:proofErr w:type="gramStart"/>
            <w:r w:rsidRPr="00D453C4">
              <w:rPr>
                <w:rFonts w:asciiTheme="majorHAnsi" w:hAnsiTheme="majorHAnsi"/>
                <w:sz w:val="24"/>
                <w:szCs w:val="24"/>
              </w:rPr>
              <w:t>plans for the future</w:t>
            </w:r>
            <w:proofErr w:type="gramEnd"/>
            <w:r w:rsidRPr="00D453C4">
              <w:rPr>
                <w:rFonts w:asciiTheme="majorHAnsi" w:hAnsiTheme="majorHAnsi"/>
                <w:sz w:val="24"/>
                <w:szCs w:val="24"/>
              </w:rPr>
              <w:t xml:space="preserve"> into December include Coordinated Entry training, PIT training, and Security training, using Zoom.</w:t>
            </w:r>
          </w:p>
          <w:p w:rsidR="002C3EED" w:rsidRPr="00D453C4" w:rsidRDefault="00FC7E2E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The delay is </w:t>
            </w:r>
            <w:proofErr w:type="spellStart"/>
            <w:r w:rsidRPr="00D453C4">
              <w:rPr>
                <w:rFonts w:asciiTheme="majorHAnsi" w:hAnsiTheme="majorHAnsi"/>
                <w:sz w:val="24"/>
                <w:szCs w:val="24"/>
              </w:rPr>
              <w:t>ServicePoint</w:t>
            </w:r>
            <w:proofErr w:type="spellEnd"/>
            <w:r w:rsidRPr="00D453C4">
              <w:rPr>
                <w:rFonts w:asciiTheme="majorHAnsi" w:hAnsiTheme="majorHAnsi"/>
                <w:sz w:val="24"/>
                <w:szCs w:val="24"/>
              </w:rPr>
              <w:t xml:space="preserve"> 6 will also delay the development of training materials, possibly until May.</w:t>
            </w:r>
          </w:p>
          <w:p w:rsidR="00FC7E2E" w:rsidRPr="00D453C4" w:rsidRDefault="00FC7E2E" w:rsidP="00EC11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C3EED" w:rsidRPr="00D453C4" w:rsidRDefault="002C3EED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5.2 Data Quality Framework</w:t>
            </w:r>
          </w:p>
          <w:p w:rsidR="007946B2" w:rsidRDefault="00885C0A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The committee </w:t>
            </w:r>
            <w:r w:rsidR="007946B2">
              <w:rPr>
                <w:rFonts w:asciiTheme="majorHAnsi" w:hAnsiTheme="majorHAnsi"/>
                <w:sz w:val="24"/>
                <w:szCs w:val="24"/>
              </w:rPr>
              <w:t>discussed options for addressing agencies that miss data quality standards with some amount of frequency.</w:t>
            </w:r>
          </w:p>
          <w:p w:rsidR="002C3EED" w:rsidRPr="00D453C4" w:rsidRDefault="00685EA7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The committee discussed </w:t>
            </w:r>
            <w:r w:rsidR="007946B2">
              <w:rPr>
                <w:rFonts w:asciiTheme="majorHAnsi" w:hAnsiTheme="majorHAnsi"/>
                <w:sz w:val="24"/>
                <w:szCs w:val="24"/>
              </w:rPr>
              <w:t>methods of communicating</w:t>
            </w:r>
            <w:r w:rsidRPr="00D453C4">
              <w:rPr>
                <w:rFonts w:asciiTheme="majorHAnsi" w:hAnsiTheme="majorHAnsi"/>
                <w:sz w:val="24"/>
                <w:szCs w:val="24"/>
              </w:rPr>
              <w:t xml:space="preserve"> data quality framework expectations &amp; communicating points penalties </w:t>
            </w:r>
            <w:r w:rsidR="007946B2">
              <w:rPr>
                <w:rFonts w:asciiTheme="majorHAnsi" w:hAnsiTheme="majorHAnsi"/>
                <w:sz w:val="24"/>
                <w:szCs w:val="24"/>
              </w:rPr>
              <w:t>to executive directors</w:t>
            </w:r>
            <w:r w:rsidRPr="00D453C4">
              <w:rPr>
                <w:rFonts w:asciiTheme="majorHAnsi" w:hAnsiTheme="majorHAnsi"/>
                <w:sz w:val="24"/>
                <w:szCs w:val="24"/>
              </w:rPr>
              <w:t xml:space="preserve">, and confirmed that Yareli </w:t>
            </w:r>
            <w:r w:rsidR="007946B2">
              <w:rPr>
                <w:rFonts w:asciiTheme="majorHAnsi" w:hAnsiTheme="majorHAnsi"/>
                <w:sz w:val="24"/>
                <w:szCs w:val="24"/>
              </w:rPr>
              <w:t>sends</w:t>
            </w:r>
            <w:r w:rsidRPr="00D453C4">
              <w:rPr>
                <w:rFonts w:asciiTheme="majorHAnsi" w:hAnsiTheme="majorHAnsi"/>
                <w:sz w:val="24"/>
                <w:szCs w:val="24"/>
              </w:rPr>
              <w:t xml:space="preserve"> framework to agency HMIS admins.</w:t>
            </w:r>
          </w:p>
          <w:p w:rsidR="00FC7E2E" w:rsidRPr="00D453C4" w:rsidRDefault="00FC7E2E" w:rsidP="00EC11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C3EED" w:rsidRPr="00D453C4" w:rsidRDefault="002C3EED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5.3 SSVF Data</w:t>
            </w:r>
          </w:p>
          <w:p w:rsidR="00770FBB" w:rsidRPr="00D453C4" w:rsidRDefault="00685EA7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Greg reported on SSVF data; As of April 1, SSVF packets take national homeless assessment database, which goes into HMIS. The committee discussed the potential for this change to allow for quick updates for the </w:t>
            </w:r>
            <w:proofErr w:type="spellStart"/>
            <w:r w:rsidRPr="00D453C4">
              <w:rPr>
                <w:rFonts w:asciiTheme="majorHAnsi" w:hAnsiTheme="majorHAnsi"/>
                <w:sz w:val="24"/>
                <w:szCs w:val="24"/>
              </w:rPr>
              <w:t>CoC</w:t>
            </w:r>
            <w:proofErr w:type="spellEnd"/>
            <w:r w:rsidRPr="00D453C4">
              <w:rPr>
                <w:rFonts w:asciiTheme="majorHAnsi" w:hAnsiTheme="majorHAnsi"/>
                <w:sz w:val="24"/>
                <w:szCs w:val="24"/>
              </w:rPr>
              <w:t>. The committee discussed a potential agreement with Kenosha and Suburban Cook regarding shared clients.</w:t>
            </w:r>
          </w:p>
          <w:p w:rsidR="00D405BE" w:rsidRPr="00D453C4" w:rsidRDefault="00D405BE" w:rsidP="00EC11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405BE" w:rsidRPr="00D453C4" w:rsidRDefault="00D405BE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5.4 </w:t>
            </w:r>
            <w:r w:rsidR="00685EA7" w:rsidRPr="00D453C4">
              <w:rPr>
                <w:rFonts w:asciiTheme="majorHAnsi" w:hAnsiTheme="majorHAnsi"/>
                <w:sz w:val="24"/>
                <w:szCs w:val="24"/>
              </w:rPr>
              <w:t>Fee Structure</w:t>
            </w:r>
          </w:p>
          <w:p w:rsidR="00685EA7" w:rsidRPr="00D453C4" w:rsidRDefault="00685EA7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Brenda confirmed that the fee structure was set up to effectively cover ART prices for HMIS users. Prices will be moved to Coalition Board for approval.</w:t>
            </w:r>
            <w:bookmarkStart w:id="0" w:name="_GoBack"/>
            <w:bookmarkEnd w:id="0"/>
          </w:p>
          <w:p w:rsidR="00FC7E2E" w:rsidRPr="00D453C4" w:rsidRDefault="00FC7E2E" w:rsidP="00EC11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3EED" w:rsidRPr="00D453C4" w:rsidTr="00D453C4">
        <w:tc>
          <w:tcPr>
            <w:tcW w:w="819" w:type="dxa"/>
          </w:tcPr>
          <w:p w:rsidR="002C3EED" w:rsidRPr="00D453C4" w:rsidRDefault="002C3EED" w:rsidP="00EC11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6.0</w:t>
            </w:r>
          </w:p>
        </w:tc>
        <w:tc>
          <w:tcPr>
            <w:tcW w:w="261" w:type="dxa"/>
          </w:tcPr>
          <w:p w:rsidR="002C3EED" w:rsidRPr="00D453C4" w:rsidRDefault="002C3EED" w:rsidP="00EC11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2C3EED" w:rsidRPr="00D453C4" w:rsidRDefault="002C3EED" w:rsidP="00EC11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New Business</w:t>
            </w:r>
          </w:p>
          <w:p w:rsidR="002C3EED" w:rsidRPr="00D453C4" w:rsidRDefault="00A25D91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6.1 </w:t>
            </w:r>
            <w:r w:rsidR="00D405BE" w:rsidRPr="00D453C4">
              <w:rPr>
                <w:rFonts w:asciiTheme="majorHAnsi" w:hAnsiTheme="majorHAnsi"/>
                <w:sz w:val="24"/>
                <w:szCs w:val="24"/>
              </w:rPr>
              <w:t>Charter Review</w:t>
            </w:r>
          </w:p>
          <w:p w:rsidR="00460EC0" w:rsidRPr="00D453C4" w:rsidRDefault="00D405BE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>Committee members agreed to review the charter independently, and send any edits/additions to Yareli</w:t>
            </w:r>
          </w:p>
          <w:p w:rsidR="00EE2DFB" w:rsidRPr="00D453C4" w:rsidRDefault="00EE2DFB" w:rsidP="00EC116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E2DFB" w:rsidRDefault="00EE2DFB" w:rsidP="00EC1160">
            <w:pPr>
              <w:rPr>
                <w:rFonts w:asciiTheme="majorHAnsi" w:hAnsiTheme="majorHAnsi"/>
                <w:sz w:val="24"/>
                <w:szCs w:val="24"/>
              </w:rPr>
            </w:pPr>
            <w:r w:rsidRPr="00D453C4">
              <w:rPr>
                <w:rFonts w:asciiTheme="majorHAnsi" w:hAnsiTheme="majorHAnsi"/>
                <w:sz w:val="24"/>
                <w:szCs w:val="24"/>
              </w:rPr>
              <w:t xml:space="preserve">6.2 </w:t>
            </w:r>
            <w:r w:rsidR="00E1378F">
              <w:rPr>
                <w:rFonts w:asciiTheme="majorHAnsi" w:hAnsiTheme="majorHAnsi"/>
                <w:sz w:val="24"/>
                <w:szCs w:val="24"/>
              </w:rPr>
              <w:t>Building Committee</w:t>
            </w:r>
          </w:p>
          <w:p w:rsidR="00E1378F" w:rsidRPr="00D453C4" w:rsidRDefault="00E1378F" w:rsidP="00EC116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Committee members were encouraged to reach out to their network to recruit new committee members.</w:t>
            </w:r>
          </w:p>
          <w:p w:rsidR="00736DCA" w:rsidRPr="00D453C4" w:rsidRDefault="00736DCA" w:rsidP="00E1378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C3EED" w:rsidRPr="00D453C4" w:rsidTr="00D453C4">
        <w:tc>
          <w:tcPr>
            <w:tcW w:w="819" w:type="dxa"/>
          </w:tcPr>
          <w:p w:rsidR="002C3EED" w:rsidRPr="00D453C4" w:rsidRDefault="002C3EED" w:rsidP="00EC11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7.0</w:t>
            </w:r>
          </w:p>
        </w:tc>
        <w:tc>
          <w:tcPr>
            <w:tcW w:w="261" w:type="dxa"/>
          </w:tcPr>
          <w:p w:rsidR="002C3EED" w:rsidRPr="00D453C4" w:rsidRDefault="002C3EED" w:rsidP="00EC11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60" w:type="dxa"/>
          </w:tcPr>
          <w:p w:rsidR="002C3EED" w:rsidRPr="00D453C4" w:rsidRDefault="002C3EED" w:rsidP="00EC116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53C4">
              <w:rPr>
                <w:rFonts w:asciiTheme="majorHAnsi" w:hAnsiTheme="majorHAnsi"/>
                <w:b/>
                <w:sz w:val="24"/>
                <w:szCs w:val="24"/>
              </w:rPr>
              <w:t>Adjournment</w:t>
            </w:r>
          </w:p>
        </w:tc>
      </w:tr>
    </w:tbl>
    <w:p w:rsidR="007D1304" w:rsidRDefault="007D1304"/>
    <w:sectPr w:rsidR="007D1304" w:rsidSect="00F3032D"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B08"/>
    <w:multiLevelType w:val="hybridMultilevel"/>
    <w:tmpl w:val="D760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EE3"/>
    <w:multiLevelType w:val="hybridMultilevel"/>
    <w:tmpl w:val="017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E4BAD"/>
    <w:multiLevelType w:val="hybridMultilevel"/>
    <w:tmpl w:val="5D66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95F27"/>
    <w:multiLevelType w:val="hybridMultilevel"/>
    <w:tmpl w:val="4EC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60"/>
    <w:rsid w:val="00055D32"/>
    <w:rsid w:val="00180A13"/>
    <w:rsid w:val="001907C9"/>
    <w:rsid w:val="002C3EED"/>
    <w:rsid w:val="00375B36"/>
    <w:rsid w:val="003C4F02"/>
    <w:rsid w:val="0043205F"/>
    <w:rsid w:val="00460EC0"/>
    <w:rsid w:val="004D3F7E"/>
    <w:rsid w:val="00685EA7"/>
    <w:rsid w:val="00736DCA"/>
    <w:rsid w:val="00770FBB"/>
    <w:rsid w:val="007946B2"/>
    <w:rsid w:val="007D1304"/>
    <w:rsid w:val="00885C0A"/>
    <w:rsid w:val="00922534"/>
    <w:rsid w:val="00A01035"/>
    <w:rsid w:val="00A25D91"/>
    <w:rsid w:val="00BE1FD7"/>
    <w:rsid w:val="00C42B3D"/>
    <w:rsid w:val="00D405BE"/>
    <w:rsid w:val="00D453C4"/>
    <w:rsid w:val="00E04263"/>
    <w:rsid w:val="00E1378F"/>
    <w:rsid w:val="00EC1160"/>
    <w:rsid w:val="00EE2DFB"/>
    <w:rsid w:val="00F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1DC2"/>
  <w15:chartTrackingRefBased/>
  <w15:docId w15:val="{6F1442D8-BDE7-4DAF-B749-72EACF4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16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60"/>
    <w:pPr>
      <w:ind w:left="720"/>
      <w:contextualSpacing/>
    </w:pPr>
  </w:style>
  <w:style w:type="table" w:styleId="TableGrid">
    <w:name w:val="Table Grid"/>
    <w:basedOn w:val="TableNormal"/>
    <w:uiPriority w:val="59"/>
    <w:rsid w:val="00EC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116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F103-A409-4755-9035-206A785C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Samuel</dc:creator>
  <cp:keywords/>
  <dc:description/>
  <cp:lastModifiedBy>McDonnell, Samuel</cp:lastModifiedBy>
  <cp:revision>5</cp:revision>
  <dcterms:created xsi:type="dcterms:W3CDTF">2017-11-28T19:22:00Z</dcterms:created>
  <dcterms:modified xsi:type="dcterms:W3CDTF">2017-11-28T20:23:00Z</dcterms:modified>
</cp:coreProperties>
</file>